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ascii="黑体;" w:hAnsi="黑体;" w:eastAsia="黑体;" w:cs="黑体;"/>
          <w:b/>
          <w:i w:val="0"/>
          <w:caps w:val="0"/>
          <w:color w:val="111111"/>
          <w:spacing w:val="0"/>
          <w:sz w:val="28"/>
          <w:szCs w:val="28"/>
        </w:rPr>
      </w:pPr>
      <w:r>
        <w:rPr>
          <w:rFonts w:hint="eastAsia" w:ascii="黑体;" w:hAnsi="黑体;" w:eastAsia="黑体;" w:cs="黑体;"/>
          <w:b/>
          <w:i w:val="0"/>
          <w:caps w:val="0"/>
          <w:color w:val="111111"/>
          <w:spacing w:val="0"/>
          <w:sz w:val="28"/>
          <w:szCs w:val="28"/>
          <w:shd w:val="clear" w:color="auto" w:fill="FFFFFF"/>
          <w:lang w:val="en-US" w:eastAsia="zh-CN"/>
        </w:rPr>
        <w:t>福州软件职业技术学院</w:t>
      </w:r>
      <w:r>
        <w:rPr>
          <w:rFonts w:hint="default" w:ascii="黑体;" w:hAnsi="黑体;" w:eastAsia="黑体;" w:cs="黑体;"/>
          <w:b/>
          <w:i w:val="0"/>
          <w:caps w:val="0"/>
          <w:color w:val="111111"/>
          <w:spacing w:val="0"/>
          <w:sz w:val="28"/>
          <w:szCs w:val="28"/>
          <w:shd w:val="clear" w:color="auto" w:fill="FFFFFF"/>
        </w:rPr>
        <w:t>线上教学情况</w:t>
      </w:r>
      <w:r>
        <w:rPr>
          <w:rFonts w:hint="eastAsia" w:ascii="黑体;" w:hAnsi="黑体;" w:eastAsia="黑体;" w:cs="黑体;"/>
          <w:b/>
          <w:i w:val="0"/>
          <w:caps w:val="0"/>
          <w:color w:val="111111"/>
          <w:spacing w:val="0"/>
          <w:sz w:val="28"/>
          <w:szCs w:val="28"/>
          <w:shd w:val="clear" w:color="auto" w:fill="FFFFFF"/>
          <w:lang w:val="en-US" w:eastAsia="zh-CN"/>
        </w:rPr>
        <w:t>监控</w:t>
      </w:r>
      <w:r>
        <w:rPr>
          <w:rFonts w:hint="default" w:ascii="黑体;" w:hAnsi="黑体;" w:eastAsia="黑体;" w:cs="黑体;"/>
          <w:b/>
          <w:i w:val="0"/>
          <w:caps w:val="0"/>
          <w:color w:val="111111"/>
          <w:spacing w:val="0"/>
          <w:sz w:val="28"/>
          <w:szCs w:val="28"/>
          <w:shd w:val="clear" w:color="auto" w:fill="FFFFFF"/>
        </w:rPr>
        <w:t>简报（第</w:t>
      </w:r>
      <w:r>
        <w:rPr>
          <w:rFonts w:hint="eastAsia" w:ascii="黑体;" w:hAnsi="黑体;" w:eastAsia="黑体;" w:cs="黑体;"/>
          <w:b/>
          <w:i w:val="0"/>
          <w:caps w:val="0"/>
          <w:color w:val="111111"/>
          <w:spacing w:val="0"/>
          <w:sz w:val="28"/>
          <w:szCs w:val="28"/>
          <w:shd w:val="clear" w:color="auto" w:fill="FFFFFF"/>
          <w:lang w:val="en-US" w:eastAsia="zh-CN"/>
        </w:rPr>
        <w:t>1</w:t>
      </w:r>
      <w:r>
        <w:rPr>
          <w:rFonts w:hint="default" w:ascii="黑体;" w:hAnsi="黑体;" w:eastAsia="黑体;" w:cs="黑体;"/>
          <w:b/>
          <w:i w:val="0"/>
          <w:caps w:val="0"/>
          <w:color w:val="111111"/>
          <w:spacing w:val="0"/>
          <w:sz w:val="28"/>
          <w:szCs w:val="28"/>
          <w:shd w:val="clear" w:color="auto" w:fill="FFFFFF"/>
        </w:rPr>
        <w:t>号）</w:t>
      </w:r>
    </w:p>
    <w:p/>
    <w:p>
      <w:pPr>
        <w:keepNext w:val="0"/>
        <w:keepLines w:val="0"/>
        <w:pageBreakBefore w:val="0"/>
        <w:widowControl/>
        <w:suppressLineNumbers w:val="0"/>
        <w:kinsoku/>
        <w:wordWrap/>
        <w:overflowPunct/>
        <w:topLinePunct w:val="0"/>
        <w:autoSpaceDE/>
        <w:autoSpaceDN/>
        <w:bidi w:val="0"/>
        <w:adjustRightInd/>
        <w:snapToGrid/>
        <w:spacing w:line="400" w:lineRule="exact"/>
        <w:ind w:firstLine="40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为应对新型冠状病毒感染的肺炎疫情，确保师生员工的身心健康和生命安全，保证教学秩序的稳定和教学进度的正常开展，做到“停课不停教，停课不停学”，学院制定了《福州软件职业技术学院2019-2020学年第二学期延迟开学教学工作方案》和《福州软件职业技术学院关于疫情防控期间以信息化支持教育教学工作的通知》。现将学院线上教学情况监控简报如下：</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00"/>
        <w:jc w:val="left"/>
        <w:textAlignment w:val="center"/>
        <w:rPr>
          <w:rFonts w:hint="default"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一、线上教学工作准备充分</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0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在寒假期间教务科研处制定了线上教学的各项工作方案，线上召开教学专题部署会议，线上组织了数场智慧职教平台使用线上培训，定期开展资源建设检查；各二级教学单位积极组织全体教师参加在线教学课程设计方案、教学平台的操作等专题网络培训；任课教师根据课程性质采取“一课一策”方法，调整教学方式和内容，充分利用智慧职教免费专业教学资源库资源，提前做好在线教学的建课和调试工作。经教务科研处及各二级教学单位充分研讨，全体老师通力合作，拟定课程由线下到线上的替代方案，最终完成了本学期179门课程（其中建设总课件数为37520，建设题库总量为20420）由线下到线上的替代和迁移。</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00"/>
        <w:jc w:val="left"/>
        <w:textAlignment w:val="center"/>
        <w:rPr>
          <w:rFonts w:hint="default" w:ascii="仿宋" w:hAnsi="仿宋" w:eastAsia="仿宋" w:cs="仿宋"/>
          <w:b/>
          <w:bCs/>
          <w:i w:val="0"/>
          <w:color w:val="auto"/>
          <w:kern w:val="0"/>
          <w:sz w:val="24"/>
          <w:szCs w:val="24"/>
          <w:u w:val="none"/>
          <w:lang w:val="en-US" w:eastAsia="zh-CN"/>
        </w:rPr>
      </w:pPr>
      <w:r>
        <w:rPr>
          <w:rFonts w:hint="eastAsia" w:ascii="仿宋" w:hAnsi="仿宋" w:eastAsia="仿宋" w:cs="仿宋"/>
          <w:b/>
          <w:bCs/>
          <w:i w:val="0"/>
          <w:color w:val="auto"/>
          <w:kern w:val="0"/>
          <w:sz w:val="24"/>
          <w:szCs w:val="24"/>
          <w:u w:val="none"/>
          <w:lang w:val="en-US" w:eastAsia="zh-CN"/>
        </w:rPr>
        <w:t>二、线上教学总体运行平稳</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00"/>
        <w:jc w:val="left"/>
        <w:textAlignment w:val="center"/>
        <w:rPr>
          <w:rFonts w:hint="default"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由于学院组织得当，教师都提前为自己的课程做了充分的预案，利用智慧职教等平台顺利完成各项教学任务。同时，教学质量监控与评价中心、教务科研处积极开展“教师线上教学工作日志”日报制、期初线上教学检查、督导线上听评课、巡课、学生线上评教等工作，有效保障我院教学质量。</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0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经二级教学单位督导小组自查、教学质量监控与评价中心抽查，2月24日—2月28日（第一周）各授课教师都有按课表正常开展教学工作，未有应开而未开课程。经统计学院累计线上开课门数348次、开课节数928次；教师累计线上教学316人次、批改作业5028次、开展线上教学互动（小组PK、头脑风暴、讨论、投票等）1125次；学生累计上线学习27258人次，日均规模3496人次、日平均到课率94.2%、课件学习24363次、做题51290题、对课堂评价五星（最高等级）12091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00"/>
        <w:jc w:val="left"/>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rPr>
        <w:t>从目前看，学院线上教学完全与课表同步，做到“不停课、不停学”。各专业课程“按照“一课一策”要求完善线上线下整体设计，提前谋划好线上线下教学、实训、考核的衔接，教学平稳运行。</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2" w:firstLineChars="200"/>
        <w:jc w:val="both"/>
        <w:textAlignment w:val="center"/>
        <w:rPr>
          <w:rFonts w:hint="default" w:ascii="仿宋" w:hAnsi="仿宋" w:eastAsia="仿宋" w:cs="仿宋"/>
          <w:b/>
          <w:bCs/>
          <w:i w:val="0"/>
          <w:color w:val="auto"/>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三、</w:t>
      </w:r>
      <w:r>
        <w:rPr>
          <w:rFonts w:hint="eastAsia" w:ascii="仿宋" w:hAnsi="仿宋" w:eastAsia="仿宋" w:cs="仿宋"/>
          <w:b/>
          <w:bCs/>
          <w:i w:val="0"/>
          <w:color w:val="auto"/>
          <w:kern w:val="0"/>
          <w:sz w:val="24"/>
          <w:szCs w:val="24"/>
          <w:u w:val="none"/>
          <w:lang w:val="en-US" w:eastAsia="zh-CN"/>
        </w:rPr>
        <w:t>存在主要问题及建议</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center"/>
        <w:rPr>
          <w:rFonts w:hint="default"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1.由于政策法律等因素，目前高职院校主流教学平台，包括智慧职教平台未有直播功能，客观上造成线上课堂教学直播与课堂教学管理分离，经与</w:t>
      </w:r>
      <w:r>
        <w:rPr>
          <w:rFonts w:hint="default" w:ascii="仿宋" w:hAnsi="仿宋" w:eastAsia="仿宋" w:cs="仿宋"/>
          <w:i w:val="0"/>
          <w:color w:val="auto"/>
          <w:kern w:val="0"/>
          <w:sz w:val="24"/>
          <w:szCs w:val="24"/>
          <w:u w:val="none"/>
          <w:lang w:val="en-US" w:eastAsia="zh-CN"/>
        </w:rPr>
        <w:t>15</w:t>
      </w:r>
      <w:r>
        <w:rPr>
          <w:rFonts w:hint="eastAsia" w:ascii="仿宋" w:hAnsi="仿宋" w:eastAsia="仿宋" w:cs="仿宋"/>
          <w:i w:val="0"/>
          <w:color w:val="auto"/>
          <w:kern w:val="0"/>
          <w:sz w:val="24"/>
          <w:szCs w:val="24"/>
          <w:u w:val="none"/>
          <w:lang w:val="en-US" w:eastAsia="zh-CN"/>
        </w:rPr>
        <w:t>位教师，</w:t>
      </w:r>
      <w:r>
        <w:rPr>
          <w:rFonts w:hint="default" w:ascii="仿宋" w:hAnsi="仿宋" w:eastAsia="仿宋" w:cs="仿宋"/>
          <w:i w:val="0"/>
          <w:color w:val="auto"/>
          <w:kern w:val="0"/>
          <w:sz w:val="24"/>
          <w:szCs w:val="24"/>
          <w:u w:val="none"/>
          <w:lang w:val="en-US" w:eastAsia="zh-CN"/>
        </w:rPr>
        <w:t>30</w:t>
      </w:r>
      <w:r>
        <w:rPr>
          <w:rFonts w:hint="eastAsia" w:ascii="仿宋" w:hAnsi="仿宋" w:eastAsia="仿宋" w:cs="仿宋"/>
          <w:i w:val="0"/>
          <w:color w:val="auto"/>
          <w:kern w:val="0"/>
          <w:sz w:val="24"/>
          <w:szCs w:val="24"/>
          <w:u w:val="none"/>
          <w:lang w:val="en-US" w:eastAsia="zh-CN"/>
        </w:rPr>
        <w:t>位学生信息员个别访谈，</w:t>
      </w:r>
      <w:r>
        <w:rPr>
          <w:rFonts w:hint="default" w:ascii="仿宋" w:hAnsi="仿宋" w:eastAsia="仿宋" w:cs="仿宋"/>
          <w:i w:val="0"/>
          <w:color w:val="auto"/>
          <w:kern w:val="0"/>
          <w:sz w:val="24"/>
          <w:szCs w:val="24"/>
          <w:u w:val="none"/>
          <w:lang w:val="en-US" w:eastAsia="zh-CN"/>
        </w:rPr>
        <w:t>70%</w:t>
      </w:r>
      <w:r>
        <w:rPr>
          <w:rFonts w:hint="eastAsia" w:ascii="仿宋" w:hAnsi="仿宋" w:eastAsia="仿宋" w:cs="仿宋"/>
          <w:i w:val="0"/>
          <w:color w:val="auto"/>
          <w:kern w:val="0"/>
          <w:sz w:val="24"/>
          <w:szCs w:val="24"/>
          <w:u w:val="none"/>
          <w:lang w:val="en-US" w:eastAsia="zh-CN"/>
        </w:rPr>
        <w:t>左右师生表示对于教师授课学生学习有一定影响。</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center"/>
        <w:rPr>
          <w:rFonts w:hint="default"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2.通过个别访谈、督导巡查、教师线上教学日志监测、学生信息员反馈信息监测等方式发现，在2月24日智慧职教平台全国集中访问出现拥堵现象至</w:t>
      </w:r>
      <w:r>
        <w:rPr>
          <w:rFonts w:hint="default" w:ascii="仿宋" w:hAnsi="仿宋" w:eastAsia="仿宋" w:cs="仿宋"/>
          <w:i w:val="0"/>
          <w:color w:val="auto"/>
          <w:kern w:val="0"/>
          <w:sz w:val="24"/>
          <w:szCs w:val="24"/>
          <w:u w:val="none"/>
          <w:lang w:val="en-US" w:eastAsia="zh-CN"/>
        </w:rPr>
        <w:t>2</w:t>
      </w:r>
      <w:r>
        <w:rPr>
          <w:rFonts w:hint="eastAsia" w:ascii="仿宋" w:hAnsi="仿宋" w:eastAsia="仿宋" w:cs="仿宋"/>
          <w:i w:val="0"/>
          <w:color w:val="auto"/>
          <w:kern w:val="0"/>
          <w:sz w:val="24"/>
          <w:szCs w:val="24"/>
          <w:u w:val="none"/>
          <w:lang w:val="en-US" w:eastAsia="zh-CN"/>
        </w:rPr>
        <w:t>月</w:t>
      </w:r>
      <w:r>
        <w:rPr>
          <w:rFonts w:hint="default" w:ascii="仿宋" w:hAnsi="仿宋" w:eastAsia="仿宋" w:cs="仿宋"/>
          <w:i w:val="0"/>
          <w:color w:val="auto"/>
          <w:kern w:val="0"/>
          <w:sz w:val="24"/>
          <w:szCs w:val="24"/>
          <w:u w:val="none"/>
          <w:lang w:val="en-US" w:eastAsia="zh-CN"/>
        </w:rPr>
        <w:t>25</w:t>
      </w:r>
      <w:r>
        <w:rPr>
          <w:rFonts w:hint="eastAsia" w:ascii="仿宋" w:hAnsi="仿宋" w:eastAsia="仿宋" w:cs="仿宋"/>
          <w:i w:val="0"/>
          <w:color w:val="auto"/>
          <w:kern w:val="0"/>
          <w:sz w:val="24"/>
          <w:szCs w:val="24"/>
          <w:u w:val="none"/>
          <w:lang w:val="en-US" w:eastAsia="zh-CN"/>
        </w:rPr>
        <w:t>日恢复正常，在2月25日智慧职教平台“测验”“线上互动”功能升级至</w:t>
      </w:r>
      <w:r>
        <w:rPr>
          <w:rFonts w:hint="default" w:ascii="仿宋" w:hAnsi="仿宋" w:eastAsia="仿宋" w:cs="仿宋"/>
          <w:i w:val="0"/>
          <w:color w:val="auto"/>
          <w:kern w:val="0"/>
          <w:sz w:val="24"/>
          <w:szCs w:val="24"/>
          <w:u w:val="none"/>
          <w:lang w:val="en-US" w:eastAsia="zh-CN"/>
        </w:rPr>
        <w:t>2</w:t>
      </w:r>
      <w:r>
        <w:rPr>
          <w:rFonts w:hint="eastAsia" w:ascii="仿宋" w:hAnsi="仿宋" w:eastAsia="仿宋" w:cs="仿宋"/>
          <w:i w:val="0"/>
          <w:color w:val="auto"/>
          <w:kern w:val="0"/>
          <w:sz w:val="24"/>
          <w:szCs w:val="24"/>
          <w:u w:val="none"/>
          <w:lang w:val="en-US" w:eastAsia="zh-CN"/>
        </w:rPr>
        <w:t>月</w:t>
      </w:r>
      <w:r>
        <w:rPr>
          <w:rFonts w:hint="default" w:ascii="仿宋" w:hAnsi="仿宋" w:eastAsia="仿宋" w:cs="仿宋"/>
          <w:i w:val="0"/>
          <w:color w:val="auto"/>
          <w:kern w:val="0"/>
          <w:sz w:val="24"/>
          <w:szCs w:val="24"/>
          <w:u w:val="none"/>
          <w:lang w:val="en-US" w:eastAsia="zh-CN"/>
        </w:rPr>
        <w:t>26</w:t>
      </w:r>
      <w:r>
        <w:rPr>
          <w:rFonts w:hint="eastAsia" w:ascii="仿宋" w:hAnsi="仿宋" w:eastAsia="仿宋" w:cs="仿宋"/>
          <w:i w:val="0"/>
          <w:color w:val="auto"/>
          <w:kern w:val="0"/>
          <w:sz w:val="24"/>
          <w:szCs w:val="24"/>
          <w:u w:val="none"/>
          <w:lang w:val="en-US" w:eastAsia="zh-CN"/>
        </w:rPr>
        <w:t>日恢复正常，在疫情期间慧职教平台“学生做作业”“学生访问课件”功能实行16:00至次日7:00错峰正常使用，个别师生设备配置较低等情况，对教师授课效果有一定影响。</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3.在个别访谈中，</w:t>
      </w:r>
      <w:r>
        <w:rPr>
          <w:rFonts w:hint="default" w:ascii="仿宋" w:hAnsi="仿宋" w:eastAsia="仿宋" w:cs="仿宋"/>
          <w:i w:val="0"/>
          <w:color w:val="auto"/>
          <w:kern w:val="0"/>
          <w:sz w:val="24"/>
          <w:szCs w:val="24"/>
          <w:u w:val="none"/>
          <w:lang w:val="en-US" w:eastAsia="zh-CN"/>
        </w:rPr>
        <w:t>50%</w:t>
      </w:r>
      <w:r>
        <w:rPr>
          <w:rFonts w:hint="eastAsia" w:ascii="仿宋" w:hAnsi="仿宋" w:eastAsia="仿宋" w:cs="仿宋"/>
          <w:i w:val="0"/>
          <w:color w:val="auto"/>
          <w:kern w:val="0"/>
          <w:sz w:val="24"/>
          <w:szCs w:val="24"/>
          <w:u w:val="none"/>
          <w:lang w:val="en-US" w:eastAsia="zh-CN"/>
        </w:rPr>
        <w:t>左右师生也谈到，由于线上教学无法实现面对面交流，一定程度上影响了师生深度互动。</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center"/>
        <w:rPr>
          <w:rFonts w:hint="default"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故建议教师根据实际情况调整教学方案，前期授课以师生适应性教学为主，由易到难，做些缓冲，照顾到学生接受线上教学的差异，注意稳定学生的情绪。相信在全体师生共同努力下，未来一段时间线上教学运行会更加顺畅，线上教学质量会进一步提高。</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color w:val="000000"/>
          <w:kern w:val="0"/>
          <w:sz w:val="24"/>
          <w:szCs w:val="24"/>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color w:val="000000"/>
          <w:kern w:val="0"/>
          <w:sz w:val="24"/>
          <w:szCs w:val="24"/>
          <w:u w:val="none"/>
          <w:lang w:val="en-US" w:eastAsia="zh-CN"/>
        </w:rPr>
      </w:pPr>
      <w:r>
        <w:rPr>
          <w:rFonts w:hint="eastAsia" w:ascii="仿宋" w:hAnsi="仿宋" w:eastAsia="仿宋" w:cs="仿宋"/>
          <w:b/>
          <w:bCs/>
          <w:i w:val="0"/>
          <w:color w:val="000000"/>
          <w:kern w:val="0"/>
          <w:sz w:val="24"/>
          <w:szCs w:val="24"/>
          <w:u w:val="none"/>
          <w:lang w:val="en-US" w:eastAsia="zh-CN"/>
        </w:rPr>
        <w:t>2020年2月24日-2月28日学院线上教学情况</w:t>
      </w:r>
    </w:p>
    <w:tbl>
      <w:tblPr>
        <w:tblStyle w:val="4"/>
        <w:tblW w:w="8149" w:type="dxa"/>
        <w:jc w:val="center"/>
        <w:shd w:val="clear" w:color="auto" w:fill="auto"/>
        <w:tblLayout w:type="autofit"/>
        <w:tblCellMar>
          <w:top w:w="0" w:type="dxa"/>
          <w:left w:w="0" w:type="dxa"/>
          <w:bottom w:w="0" w:type="dxa"/>
          <w:right w:w="0" w:type="dxa"/>
        </w:tblCellMar>
      </w:tblPr>
      <w:tblGrid>
        <w:gridCol w:w="1188"/>
        <w:gridCol w:w="2544"/>
        <w:gridCol w:w="1104"/>
        <w:gridCol w:w="1104"/>
        <w:gridCol w:w="1104"/>
        <w:gridCol w:w="1105"/>
      </w:tblGrid>
      <w:tr>
        <w:tblPrEx>
          <w:tblCellMar>
            <w:top w:w="0" w:type="dxa"/>
            <w:left w:w="0" w:type="dxa"/>
            <w:bottom w:w="0" w:type="dxa"/>
            <w:right w:w="0" w:type="dxa"/>
          </w:tblCellMar>
        </w:tblPrEx>
        <w:trPr>
          <w:trHeight w:val="554" w:hRule="atLeast"/>
          <w:jc w:val="center"/>
        </w:trPr>
        <w:tc>
          <w:tcPr>
            <w:tcW w:w="11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rPr>
              <w:t>二级教</w:t>
            </w:r>
            <w:r>
              <w:rPr>
                <w:rFonts w:hint="eastAsia" w:ascii="仿宋" w:hAnsi="仿宋" w:eastAsia="仿宋" w:cs="仿宋"/>
                <w:b/>
                <w:i w:val="0"/>
                <w:color w:val="000000"/>
                <w:kern w:val="0"/>
                <w:sz w:val="20"/>
                <w:szCs w:val="20"/>
                <w:u w:val="none"/>
                <w:lang w:val="en-US" w:eastAsia="zh-CN"/>
              </w:rPr>
              <w:br w:type="textWrapping"/>
            </w:r>
            <w:r>
              <w:rPr>
                <w:rFonts w:hint="eastAsia" w:ascii="仿宋" w:hAnsi="仿宋" w:eastAsia="仿宋" w:cs="仿宋"/>
                <w:b/>
                <w:i w:val="0"/>
                <w:color w:val="000000"/>
                <w:kern w:val="0"/>
                <w:sz w:val="20"/>
                <w:szCs w:val="20"/>
                <w:u w:val="none"/>
                <w:lang w:val="en-US" w:eastAsia="zh-CN"/>
              </w:rPr>
              <w:t>学单位</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rPr>
              <w:t>年级专业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rPr>
              <w:t>开课</w:t>
            </w:r>
            <w:r>
              <w:rPr>
                <w:rFonts w:hint="eastAsia" w:ascii="仿宋" w:hAnsi="仿宋" w:eastAsia="仿宋" w:cs="仿宋"/>
                <w:b/>
                <w:i w:val="0"/>
                <w:color w:val="000000"/>
                <w:kern w:val="0"/>
                <w:sz w:val="20"/>
                <w:szCs w:val="20"/>
                <w:u w:val="none"/>
                <w:lang w:val="en-US" w:eastAsia="zh-CN"/>
              </w:rPr>
              <w:br w:type="textWrapping"/>
            </w:r>
            <w:r>
              <w:rPr>
                <w:rFonts w:hint="eastAsia" w:ascii="仿宋" w:hAnsi="仿宋" w:eastAsia="仿宋" w:cs="仿宋"/>
                <w:b/>
                <w:i w:val="0"/>
                <w:color w:val="000000"/>
                <w:kern w:val="0"/>
                <w:sz w:val="20"/>
                <w:szCs w:val="20"/>
                <w:u w:val="none"/>
                <w:lang w:val="en-US" w:eastAsia="zh-CN"/>
              </w:rPr>
              <w:t>门次</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rPr>
              <w:t>开课</w:t>
            </w:r>
            <w:r>
              <w:rPr>
                <w:rFonts w:hint="eastAsia" w:ascii="仿宋" w:hAnsi="仿宋" w:eastAsia="仿宋" w:cs="仿宋"/>
                <w:b/>
                <w:i w:val="0"/>
                <w:color w:val="000000"/>
                <w:kern w:val="0"/>
                <w:sz w:val="20"/>
                <w:szCs w:val="20"/>
                <w:u w:val="none"/>
                <w:lang w:val="en-US" w:eastAsia="zh-CN"/>
              </w:rPr>
              <w:br w:type="textWrapping"/>
            </w:r>
            <w:r>
              <w:rPr>
                <w:rFonts w:hint="eastAsia" w:ascii="仿宋" w:hAnsi="仿宋" w:eastAsia="仿宋" w:cs="仿宋"/>
                <w:b/>
                <w:i w:val="0"/>
                <w:color w:val="000000"/>
                <w:kern w:val="0"/>
                <w:sz w:val="20"/>
                <w:szCs w:val="20"/>
                <w:u w:val="none"/>
                <w:lang w:val="en-US" w:eastAsia="zh-CN"/>
              </w:rPr>
              <w:t>节次</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rPr>
              <w:t>教师线上</w:t>
            </w:r>
            <w:r>
              <w:rPr>
                <w:rFonts w:hint="eastAsia" w:ascii="仿宋" w:hAnsi="仿宋" w:eastAsia="仿宋" w:cs="仿宋"/>
                <w:b/>
                <w:i w:val="0"/>
                <w:color w:val="000000"/>
                <w:kern w:val="0"/>
                <w:sz w:val="20"/>
                <w:szCs w:val="20"/>
                <w:u w:val="none"/>
                <w:lang w:val="en-US" w:eastAsia="zh-CN"/>
              </w:rPr>
              <w:br w:type="textWrapping"/>
            </w:r>
            <w:r>
              <w:rPr>
                <w:rFonts w:hint="eastAsia" w:ascii="仿宋" w:hAnsi="仿宋" w:eastAsia="仿宋" w:cs="仿宋"/>
                <w:b/>
                <w:i w:val="0"/>
                <w:color w:val="000000"/>
                <w:kern w:val="0"/>
                <w:sz w:val="20"/>
                <w:szCs w:val="20"/>
                <w:u w:val="none"/>
                <w:lang w:val="en-US" w:eastAsia="zh-CN"/>
              </w:rPr>
              <w:t>教学人次</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rPr>
              <w:t>学生学习</w:t>
            </w:r>
            <w:r>
              <w:rPr>
                <w:rFonts w:hint="eastAsia" w:ascii="仿宋" w:hAnsi="仿宋" w:eastAsia="仿宋" w:cs="仿宋"/>
                <w:b/>
                <w:i w:val="0"/>
                <w:color w:val="000000"/>
                <w:kern w:val="0"/>
                <w:sz w:val="20"/>
                <w:szCs w:val="20"/>
                <w:u w:val="none"/>
                <w:lang w:val="en-US" w:eastAsia="zh-CN"/>
              </w:rPr>
              <w:br w:type="textWrapping"/>
            </w:r>
            <w:r>
              <w:rPr>
                <w:rFonts w:hint="eastAsia" w:ascii="仿宋" w:hAnsi="仿宋" w:eastAsia="仿宋" w:cs="仿宋"/>
                <w:b/>
                <w:i w:val="0"/>
                <w:color w:val="000000"/>
                <w:kern w:val="0"/>
                <w:sz w:val="20"/>
                <w:szCs w:val="20"/>
                <w:u w:val="none"/>
                <w:lang w:val="en-US" w:eastAsia="zh-CN"/>
              </w:rPr>
              <w:t>门次数</w:t>
            </w:r>
          </w:p>
        </w:tc>
      </w:tr>
      <w:tr>
        <w:tblPrEx>
          <w:shd w:val="clear" w:color="auto" w:fill="auto"/>
          <w:tblCellMar>
            <w:top w:w="0" w:type="dxa"/>
            <w:left w:w="0" w:type="dxa"/>
            <w:bottom w:w="0" w:type="dxa"/>
            <w:right w:w="0" w:type="dxa"/>
          </w:tblCellMar>
        </w:tblPrEx>
        <w:trPr>
          <w:trHeight w:val="500" w:hRule="atLeast"/>
          <w:jc w:val="center"/>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智能产业</w:t>
            </w:r>
            <w:r>
              <w:rPr>
                <w:rFonts w:hint="eastAsia" w:ascii="仿宋" w:hAnsi="仿宋" w:eastAsia="仿宋" w:cs="仿宋"/>
                <w:i w:val="0"/>
                <w:color w:val="000000"/>
                <w:kern w:val="0"/>
                <w:sz w:val="20"/>
                <w:szCs w:val="20"/>
                <w:u w:val="none"/>
                <w:lang w:val="en-US" w:eastAsia="zh-CN"/>
              </w:rPr>
              <w:br w:type="textWrapping"/>
            </w:r>
            <w:r>
              <w:rPr>
                <w:rFonts w:hint="eastAsia" w:ascii="仿宋" w:hAnsi="仿宋" w:eastAsia="仿宋" w:cs="仿宋"/>
                <w:i w:val="0"/>
                <w:color w:val="000000"/>
                <w:kern w:val="0"/>
                <w:sz w:val="20"/>
                <w:szCs w:val="20"/>
                <w:u w:val="none"/>
                <w:lang w:val="en-US" w:eastAsia="zh-CN"/>
              </w:rPr>
              <w:t>学院</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18级信息安全与管理</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18级大数据技术与应用</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18级物联网工程技术</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19级软件技术（1-6班）</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92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7</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23</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19级移动互联应用技术</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19级信息安全与管理1班2班</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19级大数据技术与应用1班2班</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19级物联网工程技术</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19级智能产品开发</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19级智能终端技术与应用</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r>
      <w:tr>
        <w:tblPrEx>
          <w:tblCellMar>
            <w:top w:w="0" w:type="dxa"/>
            <w:left w:w="0" w:type="dxa"/>
            <w:bottom w:w="0" w:type="dxa"/>
            <w:right w:w="0" w:type="dxa"/>
          </w:tblCellMar>
        </w:tblPrEx>
        <w:trPr>
          <w:trHeight w:val="500" w:hRule="atLeast"/>
          <w:jc w:val="center"/>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游戏产业</w:t>
            </w:r>
            <w:r>
              <w:rPr>
                <w:rFonts w:hint="eastAsia" w:ascii="仿宋" w:hAnsi="仿宋" w:eastAsia="仿宋" w:cs="仿宋"/>
                <w:i w:val="0"/>
                <w:color w:val="000000"/>
                <w:kern w:val="0"/>
                <w:sz w:val="20"/>
                <w:szCs w:val="20"/>
                <w:u w:val="none"/>
                <w:lang w:val="en-US" w:eastAsia="zh-CN"/>
              </w:rPr>
              <w:br w:type="textWrapping"/>
            </w:r>
            <w:r>
              <w:rPr>
                <w:rFonts w:hint="eastAsia" w:ascii="仿宋" w:hAnsi="仿宋" w:eastAsia="仿宋" w:cs="仿宋"/>
                <w:i w:val="0"/>
                <w:color w:val="000000"/>
                <w:kern w:val="0"/>
                <w:sz w:val="20"/>
                <w:szCs w:val="20"/>
                <w:u w:val="none"/>
                <w:lang w:val="en-US" w:eastAsia="zh-CN"/>
              </w:rPr>
              <w:t>学院</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18级动漫制作技术专业(VR方向)1、2班</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18级广告设计与制作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18级数字展示技术(VR方向)</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7</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7</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18级游戏设计专业1、2班</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18级游戏设计专业（VR方向）</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7</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7</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19级电子竞技运动与管理</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19级动漫设计</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19级动漫制作技术专业(VR方向)1、2班</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11</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19级产品艺术设计</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19级视觉传播设计与制作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19级虚拟现实应用技术1班</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19级虚拟现实应用技术2班</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19级虚拟现实应用技术3班</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19级数字展示技术(VR方向)</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19级游戏设计专业</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19级游戏设计专业（VR方向）</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tblCellMar>
            <w:top w:w="0" w:type="dxa"/>
            <w:left w:w="0" w:type="dxa"/>
            <w:bottom w:w="0" w:type="dxa"/>
            <w:right w:w="0" w:type="dxa"/>
          </w:tblCellMar>
        </w:tblPrEx>
        <w:trPr>
          <w:trHeight w:val="500" w:hRule="atLeast"/>
          <w:jc w:val="center"/>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经济管理系</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2018级会计专业</w:t>
            </w:r>
          </w:p>
        </w:tc>
        <w:tc>
          <w:tcPr>
            <w:tcW w:w="110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110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26</w:t>
            </w:r>
          </w:p>
        </w:tc>
        <w:tc>
          <w:tcPr>
            <w:tcW w:w="110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7</w:t>
            </w:r>
          </w:p>
        </w:tc>
        <w:tc>
          <w:tcPr>
            <w:tcW w:w="110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2018级物流管理专业</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7</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7</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2018级物流金融管理专业</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16</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2018级互联网金融专业</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7</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7</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2019级会计专业</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2019级物流管理专业</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2019级物流金融管理专业</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2019级互联网金融专业</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12</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tblCellMar>
            <w:top w:w="0" w:type="dxa"/>
            <w:left w:w="0" w:type="dxa"/>
            <w:bottom w:w="0" w:type="dxa"/>
            <w:right w:w="0" w:type="dxa"/>
          </w:tblCellMar>
        </w:tblPrEx>
        <w:trPr>
          <w:trHeight w:val="500" w:hRule="atLeast"/>
          <w:jc w:val="center"/>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建筑工程系</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18级工程造价</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18级建设工程管理</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18级建筑室内设计（1班、2班）</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18级建筑室内设计VR方向</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19级工程造价</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19级建设工程管理（1班、2班）</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19级建筑室内设计</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19级建筑室内设计VR方向</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tblCellMar>
            <w:top w:w="0" w:type="dxa"/>
            <w:left w:w="0" w:type="dxa"/>
            <w:bottom w:w="0" w:type="dxa"/>
            <w:right w:w="0" w:type="dxa"/>
          </w:tblCellMar>
        </w:tblPrEx>
        <w:trPr>
          <w:trHeight w:val="500" w:hRule="atLeast"/>
          <w:jc w:val="center"/>
        </w:trPr>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公共基础部</w:t>
            </w: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2018级 全体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2019级软件工程系          软件技术</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9</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2019级软件工程系          数字媒体应用技术（VR方向）</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2019级软件工程系          移动互联网应用技术</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2019级软件工程系          信息安全与管理</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2019级游戏产业学院          电子竞技运动与管理</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2019级游戏产业学院          游戏设计</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2019级游戏产业学院          游戏设计（VR方向）</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2019级游戏产业学院          虚拟与现实应用技术</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2019级游戏产业学院          视觉传播设计与制作</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2019级游戏产业学院          动漫设计</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2019级游戏产业学院          数字展示技术（VR方向）</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2019级游戏产业学院          产品艺术设计</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2019级游戏产业学院          动漫制作技术（VR方向)</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2019级人工智能系          大数据技术与应用</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2019级人工智能系          物联网</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2019级人工智能系          智能产品</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2019级人工智能系          智能终端</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4</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2019级建筑工程系          建筑室内设计（VR方向）</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2019级建筑工程系          建筑室内设计</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2019级建筑工程系          室内艺术设计</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2019级建筑工程系          工程造价</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2019级建筑工程系          建设工程管理</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10</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5</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2019级经济管理系          会计</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2019级经济管理系          物流管理</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r>
      <w:tr>
        <w:tblPrEx>
          <w:shd w:val="clear" w:color="auto" w:fill="auto"/>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2019级经济管理系          互联网金融</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r>
      <w:tr>
        <w:tblPrEx>
          <w:tblCellMar>
            <w:top w:w="0" w:type="dxa"/>
            <w:left w:w="0" w:type="dxa"/>
            <w:bottom w:w="0" w:type="dxa"/>
            <w:right w:w="0" w:type="dxa"/>
          </w:tblCellMar>
        </w:tblPrEx>
        <w:trPr>
          <w:trHeight w:val="500" w:hRule="atLeast"/>
          <w:jc w:val="center"/>
        </w:trPr>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0"/>
                <w:szCs w:val="20"/>
                <w:u w:val="none"/>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2019级经济管理系          物流金融管理</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12</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6</w:t>
            </w:r>
          </w:p>
        </w:tc>
      </w:tr>
      <w:tr>
        <w:tblPrEx>
          <w:tblCellMar>
            <w:top w:w="0" w:type="dxa"/>
            <w:left w:w="0" w:type="dxa"/>
            <w:bottom w:w="0" w:type="dxa"/>
            <w:right w:w="0" w:type="dxa"/>
          </w:tblCellMar>
        </w:tblPrEx>
        <w:trPr>
          <w:trHeight w:val="656" w:hRule="atLeast"/>
          <w:jc w:val="center"/>
        </w:trPr>
        <w:tc>
          <w:tcPr>
            <w:tcW w:w="373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合计</w:t>
            </w:r>
          </w:p>
        </w:tc>
        <w:tc>
          <w:tcPr>
            <w:tcW w:w="110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348</w:t>
            </w:r>
          </w:p>
        </w:tc>
        <w:tc>
          <w:tcPr>
            <w:tcW w:w="110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928</w:t>
            </w:r>
          </w:p>
        </w:tc>
        <w:tc>
          <w:tcPr>
            <w:tcW w:w="110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316</w:t>
            </w:r>
          </w:p>
        </w:tc>
        <w:tc>
          <w:tcPr>
            <w:tcW w:w="110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rPr>
              <w:t>348</w:t>
            </w:r>
          </w:p>
        </w:tc>
      </w:tr>
    </w:tbl>
    <w:p/>
    <w:p/>
    <w:p>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center"/>
        <w:rPr>
          <w:rFonts w:hint="eastAsia" w:ascii="仿宋" w:hAnsi="仿宋" w:eastAsia="仿宋" w:cs="仿宋"/>
          <w:i w:val="0"/>
          <w:color w:val="auto"/>
          <w:kern w:val="0"/>
          <w:sz w:val="24"/>
          <w:szCs w:val="24"/>
          <w:u w:val="none"/>
          <w:lang w:val="en-US" w:eastAsia="zh-CN"/>
        </w:rPr>
      </w:pPr>
      <w:r>
        <w:rPr>
          <w:rFonts w:hint="eastAsia"/>
          <w:lang w:eastAsia="zh-CN"/>
        </w:rPr>
        <w:t xml:space="preserve">                       </w:t>
      </w:r>
      <w:r>
        <w:rPr>
          <w:rFonts w:hint="eastAsia" w:ascii="仿宋" w:hAnsi="仿宋" w:eastAsia="仿宋" w:cs="仿宋"/>
          <w:i w:val="0"/>
          <w:color w:val="auto"/>
          <w:kern w:val="0"/>
          <w:sz w:val="24"/>
          <w:szCs w:val="24"/>
          <w:u w:val="none"/>
          <w:lang w:val="en-US" w:eastAsia="zh-CN"/>
        </w:rPr>
        <w:t xml:space="preserve">     教学质量监控与评价中心</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 xml:space="preserve">                                  教务科研处</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both"/>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 xml:space="preserve">                               </w:t>
      </w:r>
      <w:r>
        <w:rPr>
          <w:rFonts w:hint="default" w:ascii="仿宋" w:hAnsi="仿宋" w:eastAsia="仿宋" w:cs="仿宋"/>
          <w:i w:val="0"/>
          <w:color w:val="auto"/>
          <w:kern w:val="0"/>
          <w:sz w:val="24"/>
          <w:szCs w:val="24"/>
          <w:u w:val="none"/>
          <w:lang w:val="en-US" w:eastAsia="zh-CN"/>
        </w:rPr>
        <w:t>2020</w:t>
      </w:r>
      <w:r>
        <w:rPr>
          <w:rFonts w:hint="eastAsia" w:ascii="仿宋" w:hAnsi="仿宋" w:eastAsia="仿宋" w:cs="仿宋"/>
          <w:i w:val="0"/>
          <w:color w:val="auto"/>
          <w:kern w:val="0"/>
          <w:sz w:val="24"/>
          <w:szCs w:val="24"/>
          <w:u w:val="none"/>
          <w:lang w:val="en-US" w:eastAsia="zh-CN"/>
        </w:rPr>
        <w:t>年</w:t>
      </w:r>
      <w:r>
        <w:rPr>
          <w:rFonts w:hint="default" w:ascii="仿宋" w:hAnsi="仿宋" w:eastAsia="仿宋" w:cs="仿宋"/>
          <w:i w:val="0"/>
          <w:color w:val="auto"/>
          <w:kern w:val="0"/>
          <w:sz w:val="24"/>
          <w:szCs w:val="24"/>
          <w:u w:val="none"/>
          <w:lang w:val="en-US" w:eastAsia="zh-CN"/>
        </w:rPr>
        <w:t>2</w:t>
      </w:r>
      <w:r>
        <w:rPr>
          <w:rFonts w:hint="eastAsia" w:ascii="仿宋" w:hAnsi="仿宋" w:eastAsia="仿宋" w:cs="仿宋"/>
          <w:i w:val="0"/>
          <w:color w:val="auto"/>
          <w:kern w:val="0"/>
          <w:sz w:val="24"/>
          <w:szCs w:val="24"/>
          <w:u w:val="none"/>
          <w:lang w:val="en-US" w:eastAsia="zh-CN"/>
        </w:rPr>
        <w:t>月</w:t>
      </w:r>
      <w:r>
        <w:rPr>
          <w:rFonts w:hint="default" w:ascii="仿宋" w:hAnsi="仿宋" w:eastAsia="仿宋" w:cs="仿宋"/>
          <w:i w:val="0"/>
          <w:color w:val="auto"/>
          <w:kern w:val="0"/>
          <w:sz w:val="24"/>
          <w:szCs w:val="24"/>
          <w:u w:val="none"/>
          <w:lang w:val="en-US" w:eastAsia="zh-CN"/>
        </w:rPr>
        <w:t>29</w:t>
      </w:r>
      <w:r>
        <w:rPr>
          <w:rFonts w:hint="eastAsia" w:ascii="仿宋" w:hAnsi="仿宋" w:eastAsia="仿宋" w:cs="仿宋"/>
          <w:i w:val="0"/>
          <w:color w:val="auto"/>
          <w:kern w:val="0"/>
          <w:sz w:val="24"/>
          <w:szCs w:val="24"/>
          <w:u w:val="none"/>
          <w:lang w:val="en-US" w:eastAsia="zh-CN"/>
        </w:rPr>
        <w:t>日</w:t>
      </w:r>
    </w:p>
    <w:sectPr>
      <w:pgSz w:w="11906" w:h="16838"/>
      <w:pgMar w:top="1304" w:right="1800" w:bottom="130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黑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53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Calibri" w:hAnsi="Calibri" w:eastAsia="宋体" w:cs="宋体"/>
      <w:kern w:val="0"/>
      <w:sz w:val="24"/>
      <w:szCs w:val="24"/>
      <w:lang w:val="en-US" w:eastAsia="zh-CN"/>
    </w:rPr>
  </w:style>
  <w:style w:type="paragraph" w:styleId="2">
    <w:name w:val="heading 3"/>
    <w:basedOn w:val="1"/>
    <w:next w:val="1"/>
    <w:qFormat/>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5">
    <w:name w:val="Default Paragraph Font"/>
    <w:uiPriority w:val="0"/>
  </w:style>
  <w:style w:type="table" w:default="1" w:styleId="4">
    <w:name w:val="Normal Table"/>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2525</Words>
  <Characters>2842</Characters>
  <Paragraphs>517</Paragraphs>
  <TotalTime>3</TotalTime>
  <ScaleCrop>false</ScaleCrop>
  <LinksUpToDate>false</LinksUpToDate>
  <CharactersWithSpaces>3187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2020-02-28T10:03:00Z</dcterms:created>
  <dc:creator>加明</dc:creator>
  <cp:lastModifiedBy>加明</cp:lastModifiedBy>
  <dcterms:modified xsi:type="dcterms:W3CDTF">2020-02-29T04:10:05Z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